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99" w:rsidRDefault="00CE4399" w:rsidP="00E63539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微软雅黑" w:cs="宋体"/>
          <w:color w:val="666666"/>
          <w:kern w:val="0"/>
          <w:sz w:val="44"/>
          <w:szCs w:val="44"/>
        </w:rPr>
      </w:pPr>
    </w:p>
    <w:p w:rsidR="00CE4399" w:rsidRDefault="00CE4399" w:rsidP="00E63539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微软雅黑" w:cs="宋体"/>
          <w:color w:val="666666"/>
          <w:kern w:val="0"/>
          <w:sz w:val="44"/>
          <w:szCs w:val="44"/>
        </w:rPr>
      </w:pPr>
    </w:p>
    <w:p w:rsidR="00CE4399" w:rsidRDefault="00CE4399" w:rsidP="00E63539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微软雅黑" w:cs="宋体"/>
          <w:color w:val="666666"/>
          <w:kern w:val="0"/>
          <w:sz w:val="44"/>
          <w:szCs w:val="44"/>
        </w:rPr>
      </w:pPr>
    </w:p>
    <w:p w:rsidR="00CE4399" w:rsidRDefault="00E63539" w:rsidP="00E63539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微软雅黑" w:cs="宋体"/>
          <w:color w:val="666666"/>
          <w:kern w:val="0"/>
          <w:sz w:val="44"/>
          <w:szCs w:val="44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44"/>
          <w:szCs w:val="44"/>
        </w:rPr>
        <w:t>沈阳市人民防空办公室行政执法案例</w:t>
      </w:r>
    </w:p>
    <w:p w:rsidR="00E63539" w:rsidRPr="00E63539" w:rsidRDefault="00E63539" w:rsidP="00E63539">
      <w:pPr>
        <w:widowControl/>
        <w:shd w:val="clear" w:color="auto" w:fill="FFFFFF"/>
        <w:spacing w:line="450" w:lineRule="atLeast"/>
        <w:jc w:val="center"/>
        <w:rPr>
          <w:rFonts w:ascii="仿宋_GB2312" w:eastAsia="仿宋_GB2312" w:hAnsi="微软雅黑" w:cs="宋体"/>
          <w:color w:val="666666"/>
          <w:kern w:val="0"/>
          <w:sz w:val="44"/>
          <w:szCs w:val="44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44"/>
          <w:szCs w:val="44"/>
        </w:rPr>
        <w:t>指导制度</w:t>
      </w:r>
      <w:r w:rsidR="00F35534">
        <w:rPr>
          <w:rFonts w:ascii="仿宋_GB2312" w:eastAsia="仿宋_GB2312" w:hAnsi="微软雅黑" w:cs="宋体" w:hint="eastAsia"/>
          <w:color w:val="666666"/>
          <w:kern w:val="0"/>
          <w:sz w:val="44"/>
          <w:szCs w:val="44"/>
        </w:rPr>
        <w:t>政策解读</w:t>
      </w:r>
    </w:p>
    <w:p w:rsidR="00E63539" w:rsidRDefault="00E63539" w:rsidP="00E6353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9C9899"/>
          <w:kern w:val="0"/>
          <w:sz w:val="32"/>
          <w:szCs w:val="32"/>
        </w:rPr>
      </w:pPr>
    </w:p>
    <w:p w:rsidR="00F35534" w:rsidRDefault="00F35534" w:rsidP="00F35534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背景</w:t>
      </w:r>
      <w:r w:rsidR="00E63539"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</w:p>
    <w:p w:rsidR="00E63539" w:rsidRPr="00F35534" w:rsidRDefault="00E63539" w:rsidP="00F35534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为规范全市人民防空主管部门的行政处罚行为，加强对行政处罚工作的指导，促进行政处罚公平、公正，根据《中华人民共和国行政处罚法》的有关规定，制定本制度。</w:t>
      </w:r>
    </w:p>
    <w:p w:rsidR="00F35534" w:rsidRPr="00F35534" w:rsidRDefault="00F35534" w:rsidP="00F35534">
      <w:pPr>
        <w:pStyle w:val="a5"/>
        <w:widowControl/>
        <w:numPr>
          <w:ilvl w:val="0"/>
          <w:numId w:val="1"/>
        </w:numPr>
        <w:shd w:val="clear" w:color="auto" w:fill="FFFFFF"/>
        <w:spacing w:line="480" w:lineRule="auto"/>
        <w:ind w:firstLineChars="0"/>
        <w:jc w:val="lef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什么是行政执法案例指导</w:t>
      </w: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？</w:t>
      </w:r>
    </w:p>
    <w:p w:rsidR="00E63539" w:rsidRPr="00F35534" w:rsidRDefault="00E63539" w:rsidP="00F35534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本制度所称行政处罚案例指导，是指市人民防空办公室对本系统办结的典型行政处罚案件，进行收集、分类，对违法行为的事实、性质、情节、社会危害程度相同或者基本相同的进行整理、总结，形成指导性案例，作为本系统今后一定时间对同类违法行为进行行政处罚的参考。</w:t>
      </w:r>
    </w:p>
    <w:p w:rsidR="00F35534" w:rsidRDefault="00F35534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三、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区</w:t>
      </w: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、县（市）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人民防空办公室的有关执法机构，应当及时向市人民防空办公室提交</w:t>
      </w: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哪些文件？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="00B1526F"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区</w:t>
      </w:r>
      <w:r w:rsidR="00B1526F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、县（市）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人民防空办公室的有关执法机构，应当及时向市人民防空办公室提交下列典型案例的文件：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（一）予以告诫，登记违法行为，不予行政处罚的案例；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（二）减轻、从轻、从重行政处罚的案例；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lastRenderedPageBreak/>
        <w:t>（三）依法不予行政处罚的案例；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（四）新型的或具有普遍意义的案例；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（五）当事人违法行为涉嫌犯罪，需要移送司法机关的案例；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（六）涉外或者在本地区影响较大的案例；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　　（七）与当事人争议较大的案例；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　　（八）案情复杂难以区分的案例；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　　（九）经过行政复议或行政诉讼的案例；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　　（十）其他情形的案例。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微软雅黑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E63539">
        <w:rPr>
          <w:rFonts w:ascii="微软雅黑" w:eastAsia="仿宋_GB2312" w:hAnsi="微软雅黑" w:cs="宋体" w:hint="eastAsia"/>
          <w:color w:val="666666"/>
          <w:kern w:val="0"/>
          <w:sz w:val="32"/>
          <w:szCs w:val="32"/>
        </w:rPr>
        <w:t> 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 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提交的典型行政处罚案例，应当确保其真实性。</w:t>
      </w:r>
    </w:p>
    <w:p w:rsidR="00F35534" w:rsidRPr="00F35534" w:rsidRDefault="00F35534" w:rsidP="00F35534">
      <w:pPr>
        <w:pStyle w:val="a5"/>
        <w:widowControl/>
        <w:numPr>
          <w:ilvl w:val="0"/>
          <w:numId w:val="2"/>
        </w:numPr>
        <w:shd w:val="clear" w:color="auto" w:fill="FFFFFF"/>
        <w:spacing w:line="480" w:lineRule="auto"/>
        <w:ind w:firstLineChars="0"/>
        <w:jc w:val="lef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提交的案例需要经过哪些审核</w:t>
      </w: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？</w:t>
      </w:r>
    </w:p>
    <w:p w:rsidR="00E63539" w:rsidRPr="00F35534" w:rsidRDefault="00E63539" w:rsidP="00F35534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市人民防空办公室对提交的案例，应当组织专业人员从实体和程序等方面进行严格的初选、审核，必要时可以对原案例作必要的技术性修正，防止案例出现错误。</w:t>
      </w:r>
    </w:p>
    <w:p w:rsidR="00E63539" w:rsidRPr="00E63539" w:rsidRDefault="00E63539" w:rsidP="00E6353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市人民防空办公室对于经过初选、审核的案例，可以在征询</w:t>
      </w:r>
      <w:r w:rsidR="00B1526F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法律顾问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和有关专家的意见后，进行审定。</w:t>
      </w:r>
    </w:p>
    <w:p w:rsidR="00F35534" w:rsidRPr="00F35534" w:rsidRDefault="00F35534" w:rsidP="00F35534">
      <w:pPr>
        <w:pStyle w:val="a5"/>
        <w:widowControl/>
        <w:numPr>
          <w:ilvl w:val="0"/>
          <w:numId w:val="2"/>
        </w:numPr>
        <w:shd w:val="clear" w:color="auto" w:fill="FFFFFF"/>
        <w:spacing w:line="480" w:lineRule="auto"/>
        <w:ind w:firstLineChars="0"/>
        <w:jc w:val="lef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指导性案例包括哪些内容？</w:t>
      </w:r>
    </w:p>
    <w:p w:rsidR="00E63539" w:rsidRPr="00F35534" w:rsidRDefault="00E63539" w:rsidP="00F35534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指导性案例包括标题、案情介绍、处理结果（必要时可以阐述不同意见）、案例评析等内容。</w:t>
      </w:r>
    </w:p>
    <w:p w:rsidR="00E63539" w:rsidRPr="00E63539" w:rsidRDefault="00E63539" w:rsidP="00F35534">
      <w:pPr>
        <w:widowControl/>
        <w:shd w:val="clear" w:color="auto" w:fill="FFFFFF"/>
        <w:spacing w:line="480" w:lineRule="auto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 xml:space="preserve">　　</w:t>
      </w:r>
      <w:r w:rsid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六、</w:t>
      </w:r>
      <w:r w:rsidR="00F35534"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市人民防空办公室对</w:t>
      </w:r>
      <w:r w:rsid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哪些</w:t>
      </w:r>
      <w:r w:rsidR="00F35534"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情形的应当及时废止</w:t>
      </w:r>
      <w:r w:rsidR="00F35534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？</w:t>
      </w:r>
    </w:p>
    <w:p w:rsidR="00E63539" w:rsidRPr="00E63539" w:rsidRDefault="00E63539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市人民防空办公室应当对指导性案例进行清理。具有下列情形之一的应当及时废止：</w:t>
      </w:r>
    </w:p>
    <w:p w:rsidR="00E63539" w:rsidRPr="00E63539" w:rsidRDefault="00E63539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lastRenderedPageBreak/>
        <w:t>（一）所依据的法律、法规、规章修改或废止的；</w:t>
      </w:r>
    </w:p>
    <w:p w:rsidR="00E63539" w:rsidRPr="00E63539" w:rsidRDefault="00E63539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（二）新的法律、法规、规章公布，原指导性案例与之抵触的；</w:t>
      </w:r>
    </w:p>
    <w:p w:rsidR="00E63539" w:rsidRPr="00E63539" w:rsidRDefault="00E63539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（三）后指导性案例优于前指导性案例的；</w:t>
      </w:r>
    </w:p>
    <w:p w:rsidR="00E63539" w:rsidRPr="00E63539" w:rsidRDefault="00E63539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（四）监督机关依法撤销、纠正的；</w:t>
      </w:r>
    </w:p>
    <w:p w:rsidR="00E63539" w:rsidRPr="00E63539" w:rsidRDefault="00E63539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（五）其他法定事由应当废止的。</w:t>
      </w:r>
    </w:p>
    <w:p w:rsidR="00F35534" w:rsidRDefault="00F35534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七、区、县（市）</w:t>
      </w:r>
      <w:r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人民防空主管部门</w:t>
      </w: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如何使用指导性案例？</w:t>
      </w:r>
    </w:p>
    <w:p w:rsidR="00E63539" w:rsidRPr="00E63539" w:rsidRDefault="00B1526F" w:rsidP="00CE4399">
      <w:pPr>
        <w:widowControl/>
        <w:shd w:val="clear" w:color="auto" w:fill="FFFFFF"/>
        <w:spacing w:line="480" w:lineRule="auto"/>
        <w:ind w:firstLineChars="200" w:firstLine="640"/>
        <w:jc w:val="left"/>
        <w:rPr>
          <w:rFonts w:ascii="仿宋_GB2312" w:eastAsia="仿宋_GB2312" w:hAnsi="微软雅黑" w:cs="宋体"/>
          <w:color w:val="666666"/>
          <w:kern w:val="0"/>
          <w:sz w:val="32"/>
          <w:szCs w:val="32"/>
        </w:rPr>
      </w:pP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区、县（市）</w:t>
      </w:r>
      <w:r w:rsidR="00E63539"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人民防空主管部门执法机构实施行政处罚，应当以法律、法规、规章为依据。对违法事实、性质、情节、社会危害程度相同或者基本相同的案件，可以参考市人民防空办公室的指导性案例，但是不</w:t>
      </w:r>
      <w:r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得</w:t>
      </w:r>
      <w:r w:rsidR="00E63539" w:rsidRPr="00E63539">
        <w:rPr>
          <w:rFonts w:ascii="仿宋_GB2312" w:eastAsia="仿宋_GB2312" w:hAnsi="微软雅黑" w:cs="宋体" w:hint="eastAsia"/>
          <w:color w:val="666666"/>
          <w:kern w:val="0"/>
          <w:sz w:val="32"/>
          <w:szCs w:val="32"/>
        </w:rPr>
        <w:t>在行政处罚文书中直接引用。</w:t>
      </w:r>
    </w:p>
    <w:sectPr w:rsidR="00E63539" w:rsidRPr="00E63539" w:rsidSect="00CE439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A1B" w:rsidRDefault="00005A1B" w:rsidP="00E63539">
      <w:r>
        <w:separator/>
      </w:r>
    </w:p>
  </w:endnote>
  <w:endnote w:type="continuationSeparator" w:id="1">
    <w:p w:rsidR="00005A1B" w:rsidRDefault="00005A1B" w:rsidP="00E635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88883"/>
      <w:docPartObj>
        <w:docPartGallery w:val="Page Numbers (Bottom of Page)"/>
        <w:docPartUnique/>
      </w:docPartObj>
    </w:sdtPr>
    <w:sdtContent>
      <w:p w:rsidR="00CE4399" w:rsidRDefault="00E57364">
        <w:pPr>
          <w:pStyle w:val="a4"/>
          <w:jc w:val="center"/>
        </w:pPr>
        <w:fldSimple w:instr=" PAGE   \* MERGEFORMAT ">
          <w:r w:rsidR="00F35534" w:rsidRPr="00F35534">
            <w:rPr>
              <w:noProof/>
              <w:lang w:val="zh-CN"/>
            </w:rPr>
            <w:t>-</w:t>
          </w:r>
          <w:r w:rsidR="00F35534">
            <w:rPr>
              <w:noProof/>
            </w:rPr>
            <w:t xml:space="preserve"> 2 -</w:t>
          </w:r>
        </w:fldSimple>
      </w:p>
    </w:sdtContent>
  </w:sdt>
  <w:p w:rsidR="00CE4399" w:rsidRDefault="00CE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A1B" w:rsidRDefault="00005A1B" w:rsidP="00E63539">
      <w:r>
        <w:separator/>
      </w:r>
    </w:p>
  </w:footnote>
  <w:footnote w:type="continuationSeparator" w:id="1">
    <w:p w:rsidR="00005A1B" w:rsidRDefault="00005A1B" w:rsidP="00E635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B0D87"/>
    <w:multiLevelType w:val="hybridMultilevel"/>
    <w:tmpl w:val="84C64318"/>
    <w:lvl w:ilvl="0" w:tplc="D2049368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B705892"/>
    <w:multiLevelType w:val="hybridMultilevel"/>
    <w:tmpl w:val="68BC6592"/>
    <w:lvl w:ilvl="0" w:tplc="F2E86558">
      <w:start w:val="4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539"/>
    <w:rsid w:val="00005A1B"/>
    <w:rsid w:val="008C7BFE"/>
    <w:rsid w:val="00B1526F"/>
    <w:rsid w:val="00CE4399"/>
    <w:rsid w:val="00E57364"/>
    <w:rsid w:val="00E63539"/>
    <w:rsid w:val="00F3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35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53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35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3539"/>
    <w:rPr>
      <w:sz w:val="18"/>
      <w:szCs w:val="18"/>
    </w:rPr>
  </w:style>
  <w:style w:type="paragraph" w:styleId="a5">
    <w:name w:val="List Paragraph"/>
    <w:basedOn w:val="a"/>
    <w:uiPriority w:val="34"/>
    <w:qFormat/>
    <w:rsid w:val="00F3553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518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9C9899"/>
            <w:right w:val="none" w:sz="0" w:space="0" w:color="auto"/>
          </w:divBdr>
        </w:div>
        <w:div w:id="10203522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1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12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1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31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9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23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7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46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02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5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6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7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01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9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3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946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2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0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9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0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157</Words>
  <Characters>897</Characters>
  <Application>Microsoft Office Word</Application>
  <DocSecurity>0</DocSecurity>
  <Lines>7</Lines>
  <Paragraphs>2</Paragraphs>
  <ScaleCrop>false</ScaleCrop>
  <Company>China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2022-09-06T06:51:00Z</cp:lastPrinted>
  <dcterms:created xsi:type="dcterms:W3CDTF">2022-09-06T06:15:00Z</dcterms:created>
  <dcterms:modified xsi:type="dcterms:W3CDTF">2022-09-06T08:32:00Z</dcterms:modified>
</cp:coreProperties>
</file>