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Style w:val="8"/>
          <w:rFonts w:hint="eastAsia" w:ascii="宋体" w:hAnsi="宋体" w:eastAsia="宋体" w:cs="宋体"/>
          <w:b w:val="0"/>
          <w:bCs/>
          <w:spacing w:val="-20"/>
          <w:sz w:val="28"/>
          <w:szCs w:val="28"/>
          <w:shd w:val="clear" w:color="auto" w:fill="FFFFFF"/>
          <w:lang w:eastAsia="zh-CN"/>
        </w:rPr>
      </w:pPr>
      <w:bookmarkStart w:id="0" w:name="_GoBack"/>
      <w:bookmarkEnd w:id="0"/>
      <w:r>
        <w:rPr>
          <w:rStyle w:val="8"/>
          <w:rFonts w:hint="eastAsia" w:ascii="宋体" w:hAnsi="宋体" w:eastAsia="宋体" w:cs="宋体"/>
          <w:b w:val="0"/>
          <w:bCs/>
          <w:spacing w:val="-20"/>
          <w:sz w:val="28"/>
          <w:szCs w:val="28"/>
          <w:shd w:val="clear" w:color="auto" w:fill="FFFFFF"/>
          <w:lang w:eastAsia="zh-CN"/>
        </w:rPr>
        <w:t>附件：</w:t>
      </w:r>
    </w:p>
    <w:p>
      <w:pPr>
        <w:pStyle w:val="5"/>
        <w:shd w:val="clear" w:color="auto" w:fill="FFFFFF"/>
        <w:spacing w:before="0" w:beforeAutospacing="0" w:after="0" w:afterAutospacing="0"/>
        <w:jc w:val="center"/>
        <w:rPr>
          <w:rStyle w:val="8"/>
          <w:rFonts w:hint="eastAsia" w:ascii="方正小标宋简体" w:hAnsi="方正小标宋简体" w:eastAsia="方正小标宋简体" w:cs="方正小标宋简体"/>
          <w:b w:val="0"/>
          <w:bCs/>
          <w:spacing w:val="-20"/>
          <w:sz w:val="44"/>
          <w:szCs w:val="44"/>
          <w:shd w:val="clear" w:color="auto" w:fill="FFFFFF"/>
        </w:rPr>
      </w:pPr>
    </w:p>
    <w:p>
      <w:pPr>
        <w:pStyle w:val="5"/>
        <w:shd w:val="clear" w:color="auto" w:fill="FFFFFF"/>
        <w:spacing w:before="0" w:beforeAutospacing="0" w:after="0" w:afterAutospacing="0"/>
        <w:jc w:val="center"/>
        <w:rPr>
          <w:rStyle w:val="8"/>
          <w:rFonts w:hint="eastAsia" w:ascii="方正小标宋简体" w:hAnsi="方正小标宋简体" w:eastAsia="方正小标宋简体" w:cs="方正小标宋简体"/>
          <w:b w:val="0"/>
          <w:bCs/>
          <w:spacing w:val="-20"/>
          <w:sz w:val="44"/>
          <w:szCs w:val="44"/>
          <w:shd w:val="clear" w:color="auto" w:fill="FFFFFF"/>
          <w:lang w:val="en-US" w:eastAsia="zh-CN"/>
        </w:rPr>
      </w:pPr>
      <w:r>
        <w:rPr>
          <w:rStyle w:val="8"/>
          <w:rFonts w:hint="eastAsia" w:ascii="方正小标宋简体" w:hAnsi="方正小标宋简体" w:eastAsia="方正小标宋简体" w:cs="方正小标宋简体"/>
          <w:b w:val="0"/>
          <w:bCs/>
          <w:spacing w:val="-20"/>
          <w:sz w:val="44"/>
          <w:szCs w:val="44"/>
          <w:shd w:val="clear" w:color="auto" w:fill="FFFFFF"/>
        </w:rPr>
        <w:t>沈阳市人民防空工程平战转换</w:t>
      </w:r>
      <w:r>
        <w:rPr>
          <w:rStyle w:val="8"/>
          <w:rFonts w:hint="eastAsia" w:ascii="方正小标宋简体" w:hAnsi="方正小标宋简体" w:eastAsia="方正小标宋简体" w:cs="方正小标宋简体"/>
          <w:b w:val="0"/>
          <w:bCs/>
          <w:spacing w:val="-20"/>
          <w:sz w:val="44"/>
          <w:szCs w:val="44"/>
          <w:shd w:val="clear" w:color="auto" w:fill="FFFFFF"/>
          <w:lang w:eastAsia="zh-CN"/>
        </w:rPr>
        <w:t>管理</w:t>
      </w:r>
      <w:r>
        <w:rPr>
          <w:rStyle w:val="8"/>
          <w:rFonts w:hint="eastAsia" w:ascii="方正小标宋简体" w:hAnsi="方正小标宋简体" w:eastAsia="方正小标宋简体" w:cs="方正小标宋简体"/>
          <w:b w:val="0"/>
          <w:bCs/>
          <w:spacing w:val="-20"/>
          <w:sz w:val="44"/>
          <w:szCs w:val="44"/>
          <w:shd w:val="clear" w:color="auto" w:fill="FFFFFF"/>
        </w:rPr>
        <w:t>办法</w:t>
      </w:r>
    </w:p>
    <w:p>
      <w:pPr>
        <w:pStyle w:val="5"/>
        <w:shd w:val="clear" w:color="auto" w:fill="FFFFFF"/>
        <w:spacing w:before="0" w:beforeAutospacing="0" w:after="0" w:afterAutospacing="0"/>
        <w:jc w:val="center"/>
        <w:rPr>
          <w:rStyle w:val="8"/>
          <w:rFonts w:hint="eastAsia" w:ascii="方正小标宋简体" w:hAnsi="方正小标宋简体" w:eastAsia="方正小标宋简体" w:cs="方正小标宋简体"/>
          <w:b w:val="0"/>
          <w:bCs/>
          <w:spacing w:val="-20"/>
          <w:sz w:val="32"/>
          <w:szCs w:val="32"/>
          <w:shd w:val="clear" w:color="auto" w:fill="FFFFFF"/>
          <w:lang w:val="en-US" w:eastAsia="zh-CN"/>
        </w:rPr>
      </w:pPr>
      <w:r>
        <w:rPr>
          <w:rStyle w:val="8"/>
          <w:rFonts w:hint="eastAsia" w:ascii="宋体" w:hAnsi="宋体" w:eastAsia="宋体" w:cs="宋体"/>
          <w:b w:val="0"/>
          <w:bCs/>
          <w:spacing w:val="-20"/>
          <w:sz w:val="32"/>
          <w:szCs w:val="32"/>
          <w:shd w:val="clear" w:color="auto" w:fill="FFFFFF"/>
          <w:lang w:val="en-US" w:eastAsia="zh-CN"/>
        </w:rPr>
        <w:t>（征求意见稿）</w:t>
      </w:r>
    </w:p>
    <w:p>
      <w:pPr>
        <w:pStyle w:val="5"/>
        <w:shd w:val="clear" w:color="auto" w:fill="FFFFFF"/>
        <w:spacing w:before="0" w:beforeAutospacing="0" w:after="0" w:afterAutospacing="0"/>
        <w:jc w:val="center"/>
        <w:rPr>
          <w:rStyle w:val="8"/>
          <w:rFonts w:hint="eastAsia" w:ascii="方正小标宋简体" w:hAnsi="方正小标宋简体" w:eastAsia="方正小标宋简体" w:cs="方正小标宋简体"/>
          <w:spacing w:val="-20"/>
          <w:sz w:val="44"/>
          <w:szCs w:val="44"/>
          <w:shd w:val="clear" w:color="auto" w:fill="FFFFFF"/>
          <w:lang w:eastAsia="zh-CN"/>
        </w:rPr>
      </w:pPr>
    </w:p>
    <w:p>
      <w:pPr>
        <w:shd w:val="clear" w:color="auto" w:fill="FFFFFF"/>
        <w:ind w:firstLine="640" w:firstLineChars="200"/>
        <w:rPr>
          <w:rFonts w:hint="eastAsia" w:ascii="仿宋_GB2312" w:hAnsi="仿宋_GB2312" w:eastAsia="仿宋_GB2312" w:cs="仿宋_GB2312"/>
          <w:kern w:val="0"/>
          <w:sz w:val="32"/>
          <w:szCs w:val="32"/>
          <w:shd w:val="clear" w:color="auto" w:fill="FFFFFF"/>
        </w:rPr>
      </w:pPr>
      <w:r>
        <w:rPr>
          <w:rStyle w:val="8"/>
          <w:rFonts w:hint="eastAsia" w:ascii="黑体" w:hAnsi="黑体" w:eastAsia="黑体" w:cs="黑体"/>
          <w:b w:val="0"/>
          <w:bCs/>
          <w:sz w:val="32"/>
          <w:szCs w:val="32"/>
          <w:shd w:val="clear" w:color="auto" w:fill="FFFFFF"/>
        </w:rPr>
        <w:t>第一条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为</w:t>
      </w:r>
      <w:r>
        <w:rPr>
          <w:rFonts w:hint="eastAsia" w:ascii="仿宋_GB2312" w:hAnsi="仿宋_GB2312" w:eastAsia="仿宋_GB2312" w:cs="仿宋_GB2312"/>
          <w:kern w:val="0"/>
          <w:sz w:val="32"/>
          <w:szCs w:val="32"/>
          <w:shd w:val="clear" w:color="auto" w:fill="FFFFFF"/>
          <w:lang w:eastAsia="zh-CN"/>
        </w:rPr>
        <w:t>有效落实</w:t>
      </w:r>
      <w:r>
        <w:rPr>
          <w:rFonts w:hint="eastAsia" w:ascii="仿宋_GB2312" w:hAnsi="仿宋_GB2312" w:eastAsia="仿宋_GB2312" w:cs="仿宋_GB2312"/>
          <w:kern w:val="0"/>
          <w:sz w:val="32"/>
          <w:szCs w:val="32"/>
          <w:shd w:val="clear" w:color="auto" w:fill="FFFFFF"/>
        </w:rPr>
        <w:t>人民防空工程（以下简称人防工程）平战转换</w:t>
      </w:r>
      <w:r>
        <w:rPr>
          <w:rFonts w:hint="eastAsia" w:ascii="仿宋_GB2312" w:hAnsi="仿宋_GB2312" w:eastAsia="仿宋_GB2312" w:cs="仿宋_GB2312"/>
          <w:kern w:val="0"/>
          <w:sz w:val="32"/>
          <w:szCs w:val="32"/>
          <w:shd w:val="clear" w:color="auto" w:fill="FFFFFF"/>
          <w:lang w:eastAsia="zh-CN"/>
        </w:rPr>
        <w:t>措施</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rPr>
        <w:t>确保人防工程防护功能</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根据</w:t>
      </w:r>
      <w:r>
        <w:rPr>
          <w:rFonts w:hint="eastAsia" w:ascii="仿宋_GB2312" w:hAnsi="仿宋_GB2312" w:eastAsia="仿宋_GB2312" w:cs="仿宋_GB2312"/>
          <w:kern w:val="0"/>
          <w:sz w:val="32"/>
          <w:szCs w:val="32"/>
          <w:shd w:val="clear" w:color="auto" w:fill="FFFFFF"/>
          <w:lang w:eastAsia="zh-CN"/>
        </w:rPr>
        <w:t>国家、省相关法律法规和人防工程建设有关</w:t>
      </w:r>
      <w:r>
        <w:rPr>
          <w:rFonts w:hint="eastAsia" w:ascii="仿宋_GB2312" w:hAnsi="仿宋_GB2312" w:eastAsia="仿宋_GB2312" w:cs="仿宋_GB2312"/>
          <w:kern w:val="0"/>
          <w:sz w:val="32"/>
          <w:szCs w:val="32"/>
          <w:shd w:val="clear" w:color="auto" w:fill="FFFFFF"/>
        </w:rPr>
        <w:t>标准，结合</w:t>
      </w:r>
      <w:r>
        <w:rPr>
          <w:rFonts w:hint="eastAsia" w:ascii="仿宋_GB2312" w:hAnsi="仿宋_GB2312" w:eastAsia="仿宋_GB2312" w:cs="仿宋_GB2312"/>
          <w:kern w:val="0"/>
          <w:sz w:val="32"/>
          <w:szCs w:val="32"/>
          <w:shd w:val="clear" w:color="auto" w:fill="FFFFFF"/>
          <w:lang w:eastAsia="zh-CN"/>
        </w:rPr>
        <w:t>我</w:t>
      </w:r>
      <w:r>
        <w:rPr>
          <w:rFonts w:hint="eastAsia" w:ascii="仿宋_GB2312" w:hAnsi="仿宋_GB2312" w:eastAsia="仿宋_GB2312" w:cs="仿宋_GB2312"/>
          <w:kern w:val="0"/>
          <w:sz w:val="32"/>
          <w:szCs w:val="32"/>
          <w:shd w:val="clear" w:color="auto" w:fill="FFFFFF"/>
        </w:rPr>
        <w:t>市实际，制定本办法。</w:t>
      </w:r>
    </w:p>
    <w:p>
      <w:pPr>
        <w:shd w:val="clear" w:color="auto" w:fill="FFFFFF"/>
        <w:ind w:firstLine="640" w:firstLineChars="200"/>
        <w:rPr>
          <w:rFonts w:hint="eastAsia" w:ascii="仿宋_GB2312" w:hAnsi="仿宋_GB2312" w:eastAsia="仿宋_GB2312" w:cs="仿宋_GB2312"/>
          <w:kern w:val="0"/>
          <w:sz w:val="32"/>
          <w:szCs w:val="32"/>
          <w:shd w:val="clear" w:color="auto" w:fill="FFFFFF"/>
          <w:lang w:eastAsia="zh-CN"/>
        </w:rPr>
      </w:pPr>
      <w:r>
        <w:rPr>
          <w:rStyle w:val="8"/>
          <w:rFonts w:hint="eastAsia" w:ascii="黑体" w:hAnsi="黑体" w:eastAsia="黑体" w:cs="黑体"/>
          <w:b w:val="0"/>
          <w:bCs/>
          <w:sz w:val="32"/>
          <w:szCs w:val="32"/>
          <w:shd w:val="clear" w:color="auto" w:fill="FFFFFF"/>
        </w:rPr>
        <w:t xml:space="preserve">第二条  </w:t>
      </w:r>
      <w:r>
        <w:rPr>
          <w:rFonts w:hint="eastAsia" w:ascii="仿宋_GB2312" w:hAnsi="仿宋_GB2312" w:eastAsia="仿宋_GB2312" w:cs="仿宋_GB2312"/>
          <w:kern w:val="0"/>
          <w:sz w:val="32"/>
          <w:szCs w:val="32"/>
          <w:shd w:val="clear" w:color="auto" w:fill="FFFFFF"/>
        </w:rPr>
        <w:t>本办法</w:t>
      </w:r>
      <w:r>
        <w:rPr>
          <w:rFonts w:hint="eastAsia" w:ascii="仿宋_GB2312" w:hAnsi="仿宋_GB2312" w:eastAsia="仿宋_GB2312" w:cs="仿宋_GB2312"/>
          <w:kern w:val="0"/>
          <w:sz w:val="32"/>
          <w:szCs w:val="32"/>
          <w:shd w:val="clear" w:color="auto" w:fill="FFFFFF"/>
          <w:lang w:eastAsia="zh-CN"/>
        </w:rPr>
        <w:t>适用于本市行政区划内新建、改（扩）建人防工程。</w:t>
      </w:r>
    </w:p>
    <w:p>
      <w:pPr>
        <w:shd w:val="clear" w:color="auto" w:fill="FFFFFF"/>
        <w:ind w:firstLine="640" w:firstLineChars="200"/>
        <w:rPr>
          <w:rFonts w:ascii="仿宋_GB2312" w:hAnsi="仿宋_GB2312" w:eastAsia="仿宋_GB2312" w:cs="仿宋_GB2312"/>
          <w:kern w:val="0"/>
          <w:sz w:val="32"/>
          <w:szCs w:val="32"/>
          <w:highlight w:val="yellow"/>
          <w:shd w:val="clear" w:color="auto" w:fill="FFFFFF"/>
        </w:rPr>
      </w:pPr>
      <w:r>
        <w:rPr>
          <w:rFonts w:hint="eastAsia" w:ascii="仿宋_GB2312" w:hAnsi="仿宋_GB2312" w:eastAsia="仿宋_GB2312" w:cs="仿宋_GB2312"/>
          <w:kern w:val="0"/>
          <w:sz w:val="32"/>
          <w:szCs w:val="32"/>
          <w:shd w:val="clear" w:color="auto" w:fill="FFFFFF"/>
        </w:rPr>
        <w:t>地下空间开发利用兼顾人民防空要求工程的平战转换，</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可</w:t>
      </w:r>
      <w:r>
        <w:rPr>
          <w:rFonts w:hint="eastAsia" w:ascii="仿宋_GB2312" w:hAnsi="仿宋_GB2312" w:eastAsia="仿宋_GB2312" w:cs="仿宋_GB2312"/>
          <w:kern w:val="0"/>
          <w:sz w:val="32"/>
          <w:szCs w:val="32"/>
          <w:shd w:val="clear" w:color="auto" w:fill="FFFFFF"/>
        </w:rPr>
        <w:t>参照本办法执行。</w:t>
      </w:r>
    </w:p>
    <w:p>
      <w:pPr>
        <w:shd w:val="clear" w:color="auto" w:fill="FFFFFF"/>
        <w:ind w:firstLine="640" w:firstLineChars="200"/>
        <w:rPr>
          <w:rFonts w:hint="eastAsia" w:ascii="仿宋_GB2312" w:hAnsi="仿宋_GB2312" w:eastAsia="仿宋_GB2312" w:cs="仿宋_GB2312"/>
          <w:sz w:val="32"/>
          <w:szCs w:val="32"/>
          <w:highlight w:val="none"/>
          <w:shd w:val="clear" w:color="auto" w:fill="FFFFFF"/>
          <w:lang w:eastAsia="zh-CN"/>
        </w:rPr>
      </w:pPr>
      <w:r>
        <w:rPr>
          <w:rStyle w:val="8"/>
          <w:rFonts w:hint="eastAsia" w:ascii="黑体" w:hAnsi="黑体" w:eastAsia="黑体" w:cs="黑体"/>
          <w:b w:val="0"/>
          <w:bCs/>
          <w:sz w:val="32"/>
          <w:szCs w:val="32"/>
          <w:highlight w:val="none"/>
          <w:shd w:val="clear" w:color="auto" w:fill="FFFFFF"/>
        </w:rPr>
        <w:t xml:space="preserve">第三条  </w:t>
      </w:r>
      <w:r>
        <w:rPr>
          <w:rFonts w:hint="eastAsia" w:ascii="仿宋_GB2312" w:hAnsi="仿宋_GB2312" w:eastAsia="仿宋_GB2312" w:cs="仿宋_GB2312"/>
          <w:sz w:val="32"/>
          <w:szCs w:val="32"/>
          <w:highlight w:val="none"/>
          <w:shd w:val="clear" w:color="auto" w:fill="FFFFFF"/>
        </w:rPr>
        <w:t>人防工程平战转换遵循</w:t>
      </w:r>
      <w:r>
        <w:rPr>
          <w:rFonts w:hint="eastAsia" w:ascii="仿宋_GB2312" w:hAnsi="仿宋_GB2312" w:eastAsia="仿宋_GB2312" w:cs="仿宋_GB2312"/>
          <w:sz w:val="32"/>
          <w:szCs w:val="32"/>
          <w:highlight w:val="none"/>
          <w:shd w:val="clear" w:color="auto" w:fill="FFFFFF"/>
          <w:lang w:eastAsia="zh-CN"/>
        </w:rPr>
        <w:t>长期准备、战备优先、安全可靠的</w:t>
      </w:r>
      <w:r>
        <w:rPr>
          <w:rFonts w:hint="eastAsia" w:ascii="仿宋_GB2312" w:hAnsi="仿宋_GB2312" w:eastAsia="仿宋_GB2312" w:cs="仿宋_GB2312"/>
          <w:sz w:val="32"/>
          <w:szCs w:val="32"/>
          <w:highlight w:val="none"/>
          <w:shd w:val="clear" w:color="auto" w:fill="FFFFFF"/>
        </w:rPr>
        <w:t>基本原则</w:t>
      </w:r>
      <w:r>
        <w:rPr>
          <w:rFonts w:hint="eastAsia" w:ascii="仿宋_GB2312" w:hAnsi="仿宋_GB2312" w:eastAsia="仿宋_GB2312" w:cs="仿宋_GB2312"/>
          <w:sz w:val="32"/>
          <w:szCs w:val="32"/>
          <w:highlight w:val="none"/>
          <w:shd w:val="clear" w:color="auto" w:fill="FFFFFF"/>
          <w:lang w:eastAsia="zh-CN"/>
        </w:rPr>
        <w:t>。</w:t>
      </w:r>
    </w:p>
    <w:p>
      <w:pPr>
        <w:shd w:val="clear" w:color="auto" w:fill="FFFFFF"/>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人防工程平战转换</w:t>
      </w:r>
      <w:r>
        <w:rPr>
          <w:rFonts w:hint="eastAsia" w:ascii="仿宋_GB2312" w:hAnsi="仿宋_GB2312" w:eastAsia="仿宋_GB2312" w:cs="仿宋_GB2312"/>
          <w:kern w:val="0"/>
          <w:sz w:val="32"/>
          <w:szCs w:val="32"/>
          <w:highlight w:val="none"/>
          <w:shd w:val="clear" w:color="auto" w:fill="FFFFFF"/>
        </w:rPr>
        <w:t>应坚</w:t>
      </w:r>
      <w:r>
        <w:rPr>
          <w:rFonts w:hint="eastAsia" w:ascii="仿宋_GB2312" w:hAnsi="仿宋_GB2312" w:eastAsia="仿宋_GB2312" w:cs="仿宋_GB2312"/>
          <w:sz w:val="32"/>
          <w:szCs w:val="32"/>
          <w:highlight w:val="none"/>
          <w:shd w:val="clear" w:color="auto" w:fill="FFFFFF"/>
        </w:rPr>
        <w:t>持战备效益优先</w:t>
      </w:r>
      <w:r>
        <w:rPr>
          <w:rFonts w:hint="eastAsia" w:ascii="仿宋_GB2312" w:hAnsi="仿宋_GB2312" w:eastAsia="仿宋_GB2312" w:cs="仿宋_GB2312"/>
          <w:sz w:val="32"/>
          <w:szCs w:val="32"/>
          <w:highlight w:val="none"/>
          <w:shd w:val="clear" w:color="auto" w:fill="FFFFFF"/>
          <w:lang w:eastAsia="zh-CN"/>
        </w:rPr>
        <w:t>前提下，兼顾社会效益和经济效益</w:t>
      </w:r>
      <w:r>
        <w:rPr>
          <w:rFonts w:hint="eastAsia" w:ascii="仿宋_GB2312" w:hAnsi="仿宋_GB2312" w:eastAsia="仿宋_GB2312" w:cs="仿宋_GB2312"/>
          <w:sz w:val="32"/>
          <w:szCs w:val="32"/>
          <w:highlight w:val="none"/>
          <w:shd w:val="clear" w:color="auto" w:fill="FFFFFF"/>
        </w:rPr>
        <w:t>。</w:t>
      </w:r>
    </w:p>
    <w:p>
      <w:pPr>
        <w:shd w:val="clear" w:color="auto" w:fill="FFFFFF"/>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平战转换措施应采用</w:t>
      </w:r>
      <w:r>
        <w:rPr>
          <w:rFonts w:hint="eastAsia" w:ascii="仿宋_GB2312" w:hAnsi="仿宋_GB2312" w:eastAsia="仿宋_GB2312" w:cs="仿宋_GB2312"/>
          <w:sz w:val="32"/>
          <w:szCs w:val="32"/>
          <w:shd w:val="clear" w:color="auto" w:fill="FFFFFF"/>
        </w:rPr>
        <w:t>标准化、定型化的防护设备和构件，</w:t>
      </w:r>
      <w:r>
        <w:rPr>
          <w:rFonts w:hint="eastAsia" w:ascii="仿宋_GB2312" w:hAnsi="仿宋_GB2312" w:eastAsia="仿宋_GB2312" w:cs="仿宋_GB2312"/>
          <w:sz w:val="32"/>
          <w:szCs w:val="32"/>
          <w:shd w:val="clear" w:color="auto" w:fill="FFFFFF"/>
          <w:lang w:eastAsia="zh-CN"/>
        </w:rPr>
        <w:t>推广使用</w:t>
      </w:r>
      <w:r>
        <w:rPr>
          <w:rFonts w:hint="eastAsia" w:ascii="仿宋_GB2312" w:hAnsi="仿宋_GB2312" w:eastAsia="仿宋_GB2312" w:cs="仿宋_GB2312"/>
          <w:sz w:val="32"/>
          <w:szCs w:val="32"/>
          <w:shd w:val="clear" w:color="auto" w:fill="FFFFFF"/>
        </w:rPr>
        <w:t>新技术、新材料、新产品、新工艺，</w:t>
      </w:r>
      <w:r>
        <w:rPr>
          <w:rFonts w:hint="eastAsia" w:ascii="仿宋_GB2312" w:hAnsi="仿宋_GB2312" w:eastAsia="仿宋_GB2312" w:cs="仿宋_GB2312"/>
          <w:sz w:val="32"/>
          <w:szCs w:val="32"/>
          <w:shd w:val="clear" w:color="auto" w:fill="FFFFFF"/>
          <w:lang w:eastAsia="zh-CN"/>
        </w:rPr>
        <w:t>方便</w:t>
      </w:r>
      <w:r>
        <w:rPr>
          <w:rFonts w:hint="eastAsia" w:ascii="仿宋_GB2312" w:hAnsi="仿宋_GB2312" w:eastAsia="仿宋_GB2312" w:cs="仿宋_GB2312"/>
          <w:sz w:val="32"/>
          <w:szCs w:val="32"/>
          <w:shd w:val="clear" w:color="auto" w:fill="FFFFFF"/>
        </w:rPr>
        <w:t>快捷开</w:t>
      </w:r>
      <w:r>
        <w:rPr>
          <w:rFonts w:hint="eastAsia" w:ascii="仿宋_GB2312" w:hAnsi="仿宋_GB2312" w:eastAsia="仿宋_GB2312" w:cs="仿宋_GB2312"/>
          <w:sz w:val="32"/>
          <w:szCs w:val="32"/>
          <w:highlight w:val="none"/>
          <w:shd w:val="clear" w:color="auto" w:fill="FFFFFF"/>
        </w:rPr>
        <w:t>展人防工程平战转换。</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四</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lang w:eastAsia="zh-CN"/>
        </w:rPr>
        <w:t>人防工程平战转换工作由</w:t>
      </w:r>
      <w:r>
        <w:rPr>
          <w:rFonts w:hint="eastAsia" w:ascii="仿宋_GB2312" w:hAnsi="仿宋_GB2312" w:eastAsia="仿宋_GB2312" w:cs="仿宋_GB2312"/>
          <w:sz w:val="32"/>
          <w:szCs w:val="32"/>
          <w:shd w:val="clear" w:color="auto" w:fill="FFFFFF"/>
        </w:rPr>
        <w:t>人防主管部门</w:t>
      </w:r>
      <w:r>
        <w:rPr>
          <w:rFonts w:hint="eastAsia" w:ascii="仿宋_GB2312" w:hAnsi="仿宋_GB2312" w:eastAsia="仿宋_GB2312" w:cs="仿宋_GB2312"/>
          <w:sz w:val="32"/>
          <w:szCs w:val="32"/>
          <w:shd w:val="clear" w:color="auto" w:fill="FFFFFF"/>
          <w:lang w:eastAsia="zh-CN"/>
        </w:rPr>
        <w:t>统一协调、指导，人防工程建设单位和使用单位具体负责实施。</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建设单位在办理人防工程建设许可和竣工备案前，应分别完成《</w:t>
      </w:r>
      <w:r>
        <w:rPr>
          <w:rFonts w:hint="eastAsia" w:ascii="仿宋_GB2312" w:hAnsi="仿宋_GB2312" w:eastAsia="仿宋_GB2312" w:cs="仿宋_GB2312"/>
          <w:sz w:val="32"/>
          <w:szCs w:val="32"/>
          <w:shd w:val="clear" w:color="auto" w:fill="FFFFFF"/>
        </w:rPr>
        <w:t>人防工程平战转换设计</w:t>
      </w:r>
      <w:r>
        <w:rPr>
          <w:rFonts w:hint="eastAsia" w:ascii="仿宋_GB2312" w:hAnsi="仿宋_GB2312" w:eastAsia="仿宋_GB2312" w:cs="仿宋_GB2312"/>
          <w:sz w:val="32"/>
          <w:szCs w:val="32"/>
          <w:shd w:val="clear" w:color="auto" w:fill="FFFFFF"/>
          <w:lang w:eastAsia="zh-CN"/>
        </w:rPr>
        <w:t>专篇》和《</w:t>
      </w:r>
      <w:r>
        <w:rPr>
          <w:rFonts w:hint="eastAsia" w:ascii="仿宋_GB2312" w:hAnsi="仿宋_GB2312" w:eastAsia="仿宋_GB2312" w:cs="仿宋_GB2312"/>
          <w:sz w:val="32"/>
          <w:szCs w:val="32"/>
          <w:shd w:val="clear" w:color="auto" w:fill="FFFFFF"/>
        </w:rPr>
        <w:t>人防工程平战转换</w:t>
      </w:r>
      <w:r>
        <w:rPr>
          <w:rFonts w:hint="eastAsia" w:ascii="仿宋_GB2312" w:hAnsi="仿宋_GB2312" w:eastAsia="仿宋_GB2312" w:cs="仿宋_GB2312"/>
          <w:sz w:val="32"/>
          <w:szCs w:val="32"/>
          <w:shd w:val="clear" w:color="auto" w:fill="FFFFFF"/>
          <w:lang w:eastAsia="zh-CN"/>
        </w:rPr>
        <w:t>实施方案》编制工作。</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使用单位在平时应做好预留的构件、设备设施及专用操作工具的保管和维护工作</w:t>
      </w:r>
      <w:r>
        <w:rPr>
          <w:rFonts w:hint="eastAsia" w:ascii="仿宋_GB2312" w:hAnsi="仿宋_GB2312" w:eastAsia="仿宋_GB2312" w:cs="仿宋_GB2312"/>
          <w:sz w:val="32"/>
          <w:szCs w:val="32"/>
          <w:shd w:val="clear" w:color="auto" w:fill="FFFFFF"/>
          <w:lang w:eastAsia="zh-CN"/>
        </w:rPr>
        <w:t>，做好平战转换培训与演练，并接受</w:t>
      </w:r>
      <w:r>
        <w:rPr>
          <w:rFonts w:hint="eastAsia" w:ascii="仿宋_GB2312" w:hAnsi="仿宋_GB2312" w:eastAsia="仿宋_GB2312" w:cs="仿宋_GB2312"/>
          <w:sz w:val="32"/>
          <w:szCs w:val="32"/>
          <w:shd w:val="clear" w:color="auto" w:fill="FFFFFF"/>
        </w:rPr>
        <w:t>各级人防主管部门</w:t>
      </w:r>
      <w:r>
        <w:rPr>
          <w:rFonts w:hint="eastAsia" w:ascii="仿宋_GB2312" w:hAnsi="仿宋_GB2312" w:eastAsia="仿宋_GB2312" w:cs="仿宋_GB2312"/>
          <w:sz w:val="32"/>
          <w:szCs w:val="32"/>
          <w:shd w:val="clear" w:color="auto" w:fill="FFFFFF"/>
          <w:lang w:eastAsia="zh-CN"/>
        </w:rPr>
        <w:t>定期</w:t>
      </w:r>
      <w:r>
        <w:rPr>
          <w:rFonts w:hint="eastAsia" w:ascii="仿宋_GB2312" w:hAnsi="仿宋_GB2312" w:eastAsia="仿宋_GB2312" w:cs="仿宋_GB2312"/>
          <w:sz w:val="32"/>
          <w:szCs w:val="32"/>
          <w:shd w:val="clear" w:color="auto" w:fill="FFFFFF"/>
        </w:rPr>
        <w:t>监督检查。</w:t>
      </w:r>
      <w:r>
        <w:rPr>
          <w:rFonts w:hint="eastAsia" w:ascii="仿宋_GB2312" w:hAnsi="仿宋_GB2312" w:eastAsia="仿宋_GB2312" w:cs="仿宋_GB2312"/>
          <w:sz w:val="32"/>
          <w:szCs w:val="32"/>
          <w:shd w:val="clear" w:color="auto" w:fill="FFFFFF"/>
          <w:lang w:eastAsia="zh-CN"/>
        </w:rPr>
        <w:t>临战前，使用单位应依据《</w:t>
      </w:r>
      <w:r>
        <w:rPr>
          <w:rFonts w:hint="eastAsia" w:ascii="仿宋_GB2312" w:hAnsi="仿宋_GB2312" w:eastAsia="仿宋_GB2312" w:cs="仿宋_GB2312"/>
          <w:sz w:val="32"/>
          <w:szCs w:val="32"/>
          <w:shd w:val="clear" w:color="auto" w:fill="FFFFFF"/>
        </w:rPr>
        <w:t>人防工程平战转换</w:t>
      </w:r>
      <w:r>
        <w:rPr>
          <w:rFonts w:hint="eastAsia" w:ascii="仿宋_GB2312" w:hAnsi="仿宋_GB2312" w:eastAsia="仿宋_GB2312" w:cs="仿宋_GB2312"/>
          <w:sz w:val="32"/>
          <w:szCs w:val="32"/>
          <w:shd w:val="clear" w:color="auto" w:fill="FFFFFF"/>
          <w:lang w:eastAsia="zh-CN"/>
        </w:rPr>
        <w:t>实施方案》完成平战转换工作。</w:t>
      </w:r>
    </w:p>
    <w:p>
      <w:pPr>
        <w:shd w:val="clear" w:color="auto" w:fill="FFFFFF"/>
        <w:ind w:firstLine="640" w:firstLineChars="200"/>
        <w:rPr>
          <w:rStyle w:val="8"/>
          <w:rFonts w:hint="eastAsia" w:ascii="黑体" w:hAnsi="黑体" w:eastAsia="黑体" w:cs="黑体"/>
          <w:b w:val="0"/>
          <w:bCs/>
          <w:sz w:val="32"/>
          <w:szCs w:val="32"/>
          <w:shd w:val="clear" w:color="auto" w:fill="FFFFFF"/>
          <w:lang w:eastAsia="zh-CN"/>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五</w:t>
      </w:r>
      <w:r>
        <w:rPr>
          <w:rStyle w:val="8"/>
          <w:rFonts w:hint="eastAsia" w:ascii="黑体" w:hAnsi="黑体" w:eastAsia="黑体" w:cs="黑体"/>
          <w:b w:val="0"/>
          <w:bCs/>
          <w:sz w:val="32"/>
          <w:szCs w:val="32"/>
          <w:shd w:val="clear" w:color="auto" w:fill="FFFFFF"/>
        </w:rPr>
        <w:t>条</w:t>
      </w:r>
      <w:r>
        <w:rPr>
          <w:rStyle w:val="8"/>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人防工程防护功能平战转换，按照不同的战时功能，实行分类转换。</w:t>
      </w:r>
    </w:p>
    <w:p>
      <w:pPr>
        <w:shd w:val="clear" w:color="auto" w:fill="FFFFFF"/>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（一）</w:t>
      </w:r>
      <w:r>
        <w:rPr>
          <w:rFonts w:hint="eastAsia" w:ascii="仿宋_GB2312" w:hAnsi="仿宋_GB2312" w:eastAsia="仿宋_GB2312" w:cs="仿宋_GB2312"/>
          <w:kern w:val="0"/>
          <w:sz w:val="32"/>
          <w:szCs w:val="32"/>
          <w:shd w:val="clear" w:color="auto" w:fill="FFFFFF"/>
        </w:rPr>
        <w:t>人防指挥工程不得预留平战转换</w:t>
      </w:r>
      <w:r>
        <w:rPr>
          <w:rFonts w:hint="eastAsia" w:ascii="仿宋_GB2312" w:hAnsi="仿宋_GB2312" w:eastAsia="仿宋_GB2312" w:cs="仿宋_GB2312"/>
          <w:kern w:val="0"/>
          <w:sz w:val="32"/>
          <w:szCs w:val="32"/>
          <w:shd w:val="clear" w:color="auto" w:fill="FFFFFF"/>
          <w:lang w:eastAsia="zh-CN"/>
        </w:rPr>
        <w:t>项目</w:t>
      </w:r>
      <w:r>
        <w:rPr>
          <w:rFonts w:hint="eastAsia" w:ascii="仿宋_GB2312" w:hAnsi="仿宋_GB2312" w:eastAsia="仿宋_GB2312" w:cs="仿宋_GB2312"/>
          <w:kern w:val="0"/>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）战时中心医院、战时急救医院、核生化监测中心可</w:t>
      </w:r>
      <w:r>
        <w:rPr>
          <w:rFonts w:hint="eastAsia" w:ascii="仿宋_GB2312" w:hAnsi="仿宋_GB2312" w:eastAsia="仿宋_GB2312" w:cs="仿宋_GB2312"/>
          <w:sz w:val="32"/>
          <w:szCs w:val="32"/>
          <w:shd w:val="clear" w:color="auto" w:fill="FFFFFF"/>
          <w:lang w:eastAsia="zh-CN"/>
        </w:rPr>
        <w:t>预留平战转换项目：模块化卫生设备、可</w:t>
      </w:r>
      <w:r>
        <w:rPr>
          <w:rFonts w:hint="eastAsia" w:ascii="仿宋_GB2312" w:hAnsi="仿宋_GB2312" w:eastAsia="仿宋_GB2312" w:cs="仿宋_GB2312"/>
          <w:sz w:val="32"/>
          <w:szCs w:val="32"/>
          <w:shd w:val="clear" w:color="auto" w:fill="FFFFFF"/>
        </w:rPr>
        <w:t>移动的医疗设备、检测设备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战时医疗救护站可</w:t>
      </w:r>
      <w:r>
        <w:rPr>
          <w:rFonts w:hint="eastAsia" w:ascii="仿宋_GB2312" w:hAnsi="仿宋_GB2312" w:eastAsia="仿宋_GB2312" w:cs="仿宋_GB2312"/>
          <w:sz w:val="32"/>
          <w:szCs w:val="32"/>
          <w:shd w:val="clear" w:color="auto" w:fill="FFFFFF"/>
          <w:lang w:eastAsia="zh-CN"/>
        </w:rPr>
        <w:t>预留平战转换项目：</w:t>
      </w:r>
      <w:r>
        <w:rPr>
          <w:rFonts w:hint="eastAsia" w:ascii="仿宋_GB2312" w:hAnsi="仿宋_GB2312" w:eastAsia="仿宋_GB2312" w:cs="仿宋_GB2312"/>
          <w:sz w:val="32"/>
          <w:szCs w:val="32"/>
          <w:shd w:val="clear" w:color="auto" w:fill="FFFFFF"/>
        </w:rPr>
        <w:t>电站发电机组、战时淋浴设施和加热设备，以及</w:t>
      </w:r>
      <w:r>
        <w:rPr>
          <w:rFonts w:hint="eastAsia" w:ascii="仿宋_GB2312" w:hAnsi="仿宋_GB2312" w:eastAsia="仿宋_GB2312" w:cs="仿宋_GB2312"/>
          <w:sz w:val="32"/>
          <w:szCs w:val="32"/>
          <w:shd w:val="clear" w:color="auto" w:fill="FFFFFF"/>
          <w:lang w:eastAsia="zh-CN"/>
        </w:rPr>
        <w:t>房间</w:t>
      </w:r>
      <w:r>
        <w:rPr>
          <w:rFonts w:hint="eastAsia" w:ascii="仿宋_GB2312" w:hAnsi="仿宋_GB2312" w:eastAsia="仿宋_GB2312" w:cs="仿宋_GB2312"/>
          <w:sz w:val="32"/>
          <w:szCs w:val="32"/>
          <w:shd w:val="clear" w:color="auto" w:fill="FFFFFF"/>
        </w:rPr>
        <w:t>轻质隔墙</w:t>
      </w:r>
      <w:r>
        <w:rPr>
          <w:rFonts w:hint="eastAsia" w:ascii="仿宋_GB2312" w:hAnsi="仿宋_GB2312" w:eastAsia="仿宋_GB2312" w:cs="仿宋_GB2312"/>
          <w:sz w:val="32"/>
          <w:szCs w:val="32"/>
          <w:shd w:val="clear" w:color="auto" w:fill="FFFFFF"/>
          <w:lang w:eastAsia="zh-CN"/>
        </w:rPr>
        <w:t>。</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）人民防空专业队工程、一等人员掩蔽工程以及食品站、供水站、药品库可</w:t>
      </w:r>
      <w:r>
        <w:rPr>
          <w:rFonts w:hint="eastAsia" w:ascii="仿宋_GB2312" w:hAnsi="仿宋_GB2312" w:eastAsia="仿宋_GB2312" w:cs="仿宋_GB2312"/>
          <w:sz w:val="32"/>
          <w:szCs w:val="32"/>
          <w:shd w:val="clear" w:color="auto" w:fill="FFFFFF"/>
          <w:lang w:eastAsia="zh-CN"/>
        </w:rPr>
        <w:t>预留平战转换项目：</w:t>
      </w:r>
      <w:r>
        <w:rPr>
          <w:rFonts w:hint="eastAsia" w:ascii="仿宋_GB2312" w:hAnsi="仿宋_GB2312" w:eastAsia="仿宋_GB2312" w:cs="仿宋_GB2312"/>
          <w:sz w:val="32"/>
          <w:szCs w:val="32"/>
          <w:shd w:val="clear" w:color="auto" w:fill="FFFFFF"/>
        </w:rPr>
        <w:t>电站发电机组、战时淋浴设施和加热设备。</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）二等人员掩蔽工程和其他配套工程可</w:t>
      </w:r>
      <w:r>
        <w:rPr>
          <w:rFonts w:hint="eastAsia" w:ascii="仿宋_GB2312" w:hAnsi="仿宋_GB2312" w:eastAsia="仿宋_GB2312" w:cs="仿宋_GB2312"/>
          <w:sz w:val="32"/>
          <w:szCs w:val="32"/>
          <w:shd w:val="clear" w:color="auto" w:fill="FFFFFF"/>
          <w:lang w:eastAsia="zh-CN"/>
        </w:rPr>
        <w:t>预留平战转换项目：</w:t>
      </w:r>
      <w:r>
        <w:rPr>
          <w:rFonts w:hint="eastAsia" w:ascii="仿宋_GB2312" w:hAnsi="仿宋_GB2312" w:eastAsia="仿宋_GB2312" w:cs="仿宋_GB2312"/>
          <w:sz w:val="32"/>
          <w:szCs w:val="32"/>
          <w:shd w:val="clear" w:color="auto" w:fill="FFFFFF"/>
        </w:rPr>
        <w:t>电站发电机组、</w:t>
      </w:r>
      <w:r>
        <w:rPr>
          <w:rFonts w:hint="eastAsia" w:ascii="仿宋_GB2312" w:hAnsi="仿宋_GB2312" w:eastAsia="仿宋_GB2312" w:cs="仿宋_GB2312"/>
          <w:sz w:val="32"/>
          <w:szCs w:val="32"/>
          <w:shd w:val="clear" w:color="auto" w:fill="FFFFFF"/>
          <w:lang w:eastAsia="zh-CN"/>
        </w:rPr>
        <w:t>专为战时使用的毒</w:t>
      </w:r>
      <w:r>
        <w:rPr>
          <w:rFonts w:hint="eastAsia" w:ascii="仿宋_GB2312" w:hAnsi="仿宋_GB2312" w:eastAsia="仿宋_GB2312" w:cs="仿宋_GB2312"/>
          <w:sz w:val="32"/>
          <w:szCs w:val="32"/>
          <w:shd w:val="clear" w:color="auto" w:fill="FFFFFF"/>
          <w:lang w:val="en-US" w:eastAsia="zh-CN"/>
        </w:rPr>
        <w:t>剂报警系统、</w:t>
      </w:r>
      <w:r>
        <w:rPr>
          <w:rFonts w:hint="eastAsia" w:ascii="仿宋_GB2312" w:hAnsi="仿宋_GB2312" w:eastAsia="仿宋_GB2312" w:cs="仿宋_GB2312"/>
          <w:sz w:val="32"/>
          <w:szCs w:val="32"/>
          <w:shd w:val="clear" w:color="auto" w:fill="FFFFFF"/>
        </w:rPr>
        <w:t>战时淋浴器和加热设备、战时水箱及增压设备、干厕</w:t>
      </w:r>
      <w:r>
        <w:rPr>
          <w:rFonts w:hint="eastAsia" w:ascii="仿宋_GB2312" w:hAnsi="仿宋_GB2312" w:eastAsia="仿宋_GB2312" w:cs="仿宋_GB2312"/>
          <w:sz w:val="32"/>
          <w:szCs w:val="32"/>
          <w:shd w:val="clear" w:color="auto" w:fill="FFFFFF"/>
          <w:lang w:eastAsia="zh-CN"/>
        </w:rPr>
        <w:t>、为战时一级、二级负荷供电的</w:t>
      </w:r>
      <w:r>
        <w:rPr>
          <w:rFonts w:hint="eastAsia" w:ascii="仿宋_GB2312" w:hAnsi="仿宋_GB2312" w:eastAsia="仿宋_GB2312" w:cs="仿宋_GB2312"/>
          <w:sz w:val="32"/>
          <w:szCs w:val="32"/>
          <w:shd w:val="clear" w:color="auto" w:fill="FFFFFF"/>
          <w:lang w:val="en-US" w:eastAsia="zh-CN"/>
        </w:rPr>
        <w:t>EPS、UPS自备电源设备</w:t>
      </w:r>
      <w:r>
        <w:rPr>
          <w:rFonts w:hint="eastAsia" w:ascii="仿宋_GB2312" w:hAnsi="仿宋_GB2312" w:eastAsia="仿宋_GB2312" w:cs="仿宋_GB2312"/>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）各类人防工程的抗爆隔墙、</w:t>
      </w:r>
      <w:r>
        <w:rPr>
          <w:rFonts w:hint="eastAsia" w:ascii="仿宋_GB2312" w:hAnsi="仿宋_GB2312" w:eastAsia="仿宋_GB2312" w:cs="仿宋_GB2312"/>
          <w:sz w:val="32"/>
          <w:szCs w:val="32"/>
          <w:shd w:val="clear" w:color="auto" w:fill="FFFFFF"/>
          <w:lang w:eastAsia="zh-CN"/>
        </w:rPr>
        <w:t>抗爆挡墙、</w:t>
      </w:r>
      <w:r>
        <w:rPr>
          <w:rFonts w:hint="eastAsia" w:ascii="仿宋_GB2312" w:hAnsi="仿宋_GB2312" w:eastAsia="仿宋_GB2312" w:cs="仿宋_GB2312"/>
          <w:sz w:val="32"/>
          <w:szCs w:val="32"/>
          <w:shd w:val="clear" w:color="auto" w:fill="FFFFFF"/>
        </w:rPr>
        <w:t>封堵配套沙袋、装配式防倒塌棚架等可预留平战转换。</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专供平时使用的出入口、连通口、通风口等应采用门式封堵措施。</w:t>
      </w:r>
    </w:p>
    <w:p>
      <w:pPr>
        <w:shd w:val="clear" w:color="auto" w:fill="FFFFFF"/>
        <w:ind w:firstLine="640" w:firstLineChars="200"/>
        <w:rPr>
          <w:rStyle w:val="8"/>
          <w:rFonts w:hint="eastAsia" w:ascii="黑体" w:hAnsi="黑体" w:eastAsia="仿宋_GB2312" w:cs="黑体"/>
          <w:b w:val="0"/>
          <w:bCs/>
          <w:sz w:val="32"/>
          <w:szCs w:val="32"/>
          <w:shd w:val="clear" w:color="auto" w:fill="FFFFFF"/>
          <w:lang w:val="en-US" w:eastAsia="zh-CN"/>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六</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人防工程</w:t>
      </w:r>
      <w:r>
        <w:rPr>
          <w:rFonts w:hint="eastAsia" w:ascii="仿宋_GB2312" w:hAnsi="仿宋_GB2312" w:eastAsia="仿宋_GB2312" w:cs="仿宋_GB2312"/>
          <w:sz w:val="32"/>
          <w:szCs w:val="32"/>
          <w:shd w:val="clear" w:color="auto" w:fill="FFFFFF"/>
          <w:lang w:eastAsia="zh-CN"/>
        </w:rPr>
        <w:t>建设应按规定控制平战转换工作量，确保在规定时限内完成平战转换，达到战时使用要求。</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七</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人防工程平战转换设计应与工程设计同步进行，并设</w:t>
      </w:r>
      <w:r>
        <w:rPr>
          <w:rFonts w:hint="eastAsia" w:ascii="仿宋_GB2312" w:hAnsi="仿宋_GB2312" w:eastAsia="仿宋_GB2312" w:cs="仿宋_GB2312"/>
          <w:sz w:val="32"/>
          <w:szCs w:val="32"/>
          <w:shd w:val="clear" w:color="auto" w:fill="FFFFFF"/>
          <w:lang w:eastAsia="zh-CN"/>
        </w:rPr>
        <w:t>《人防工程</w:t>
      </w:r>
      <w:r>
        <w:rPr>
          <w:rFonts w:hint="eastAsia" w:ascii="仿宋_GB2312" w:hAnsi="仿宋_GB2312" w:eastAsia="仿宋_GB2312" w:cs="仿宋_GB2312"/>
          <w:sz w:val="32"/>
          <w:szCs w:val="32"/>
          <w:shd w:val="clear" w:color="auto" w:fill="FFFFFF"/>
        </w:rPr>
        <w:t>平战转换设计专篇</w:t>
      </w:r>
      <w:r>
        <w:rPr>
          <w:rStyle w:val="8"/>
          <w:rFonts w:hint="eastAsia" w:ascii="黑体" w:hAnsi="黑体" w:eastAsia="黑体" w:cs="黑体"/>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八</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lang w:eastAsia="zh-CN"/>
        </w:rPr>
        <w:t>《人防工程</w:t>
      </w:r>
      <w:r>
        <w:rPr>
          <w:rFonts w:hint="eastAsia" w:ascii="仿宋_GB2312" w:hAnsi="仿宋_GB2312" w:eastAsia="仿宋_GB2312" w:cs="仿宋_GB2312"/>
          <w:sz w:val="32"/>
          <w:szCs w:val="32"/>
          <w:shd w:val="clear" w:color="auto" w:fill="FFFFFF"/>
        </w:rPr>
        <w:t>平战转换设计专篇</w:t>
      </w:r>
      <w:r>
        <w:rPr>
          <w:rStyle w:val="8"/>
          <w:rFonts w:hint="eastAsia" w:ascii="黑体" w:hAnsi="黑体" w:eastAsia="黑体" w:cs="黑体"/>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是人防工程设计文件的组成部分，应与施工图设计文件一并报送施工图审查机构审查。</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九</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人防工程竣工验收备案</w:t>
      </w:r>
      <w:r>
        <w:rPr>
          <w:rFonts w:hint="eastAsia" w:ascii="仿宋_GB2312" w:hAnsi="仿宋_GB2312" w:eastAsia="仿宋_GB2312" w:cs="仿宋_GB2312"/>
          <w:sz w:val="32"/>
          <w:szCs w:val="32"/>
          <w:shd w:val="clear" w:color="auto" w:fill="FFFFFF"/>
          <w:lang w:eastAsia="zh-CN"/>
        </w:rPr>
        <w:t>时应完成《人防工程</w:t>
      </w:r>
      <w:r>
        <w:rPr>
          <w:rFonts w:hint="eastAsia" w:ascii="仿宋_GB2312" w:hAnsi="仿宋_GB2312" w:eastAsia="仿宋_GB2312" w:cs="仿宋_GB2312"/>
          <w:sz w:val="32"/>
          <w:szCs w:val="32"/>
          <w:shd w:val="clear" w:color="auto" w:fill="FFFFFF"/>
        </w:rPr>
        <w:t>平战转换</w:t>
      </w:r>
      <w:r>
        <w:rPr>
          <w:rFonts w:hint="eastAsia" w:ascii="仿宋_GB2312" w:hAnsi="仿宋_GB2312" w:eastAsia="仿宋_GB2312" w:cs="仿宋_GB2312"/>
          <w:sz w:val="32"/>
          <w:szCs w:val="32"/>
          <w:shd w:val="clear" w:color="auto" w:fill="FFFFFF"/>
          <w:lang w:eastAsia="zh-CN"/>
        </w:rPr>
        <w:t>实施方案》编制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kern w:val="0"/>
          <w:sz w:val="32"/>
          <w:szCs w:val="32"/>
          <w:shd w:val="clear" w:color="auto" w:fill="FFFFFF"/>
        </w:rPr>
        <w:t>主要内容包括：工程概况、组织机构及职责分工、</w:t>
      </w:r>
      <w:r>
        <w:rPr>
          <w:rFonts w:hint="eastAsia" w:ascii="仿宋_GB2312" w:hAnsi="仿宋_GB2312" w:eastAsia="仿宋_GB2312" w:cs="仿宋_GB2312"/>
          <w:sz w:val="32"/>
          <w:szCs w:val="32"/>
          <w:shd w:val="clear" w:color="auto" w:fill="FFFFFF"/>
        </w:rPr>
        <w:t>平战转换设计、平战转换工程量、设备清单、转换时限要求、转换部位、转换方法、技术措施、平战转换造价预算以及人防工程平战转换实施计划等内容。</w:t>
      </w:r>
    </w:p>
    <w:p>
      <w:pPr>
        <w:shd w:val="clear" w:color="auto" w:fill="FFFFFF"/>
        <w:ind w:firstLine="640" w:firstLineChars="200"/>
        <w:rPr>
          <w:rFonts w:hint="eastAsia" w:ascii="仿宋_GB2312" w:hAnsi="仿宋_GB2312" w:eastAsia="仿宋_GB2312" w:cs="仿宋_GB2312"/>
          <w:sz w:val="32"/>
          <w:szCs w:val="32"/>
          <w:shd w:val="clear" w:color="auto" w:fill="FFFFFF"/>
          <w:lang w:eastAsia="zh-CN"/>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十</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lang w:eastAsia="zh-CN"/>
        </w:rPr>
        <w:t>人防工程应按照《人民防空工程设备设施标志和着色标准》（</w:t>
      </w:r>
      <w:r>
        <w:rPr>
          <w:rFonts w:hint="eastAsia" w:ascii="仿宋_GB2312" w:hAnsi="仿宋_GB2312" w:eastAsia="仿宋_GB2312" w:cs="仿宋_GB2312"/>
          <w:sz w:val="32"/>
          <w:szCs w:val="32"/>
          <w:shd w:val="clear" w:color="auto" w:fill="FFFFFF"/>
          <w:lang w:val="en-US" w:eastAsia="zh-CN"/>
        </w:rPr>
        <w:t>RFJ01-2014</w:t>
      </w:r>
      <w:r>
        <w:rPr>
          <w:rFonts w:hint="eastAsia" w:ascii="仿宋_GB2312" w:hAnsi="仿宋_GB2312" w:eastAsia="仿宋_GB2312" w:cs="仿宋_GB2312"/>
          <w:sz w:val="32"/>
          <w:szCs w:val="32"/>
          <w:shd w:val="clear" w:color="auto" w:fill="FFFFFF"/>
          <w:lang w:eastAsia="zh-CN"/>
        </w:rPr>
        <w:t>）和《人民防空工程标识》（</w:t>
      </w:r>
      <w:r>
        <w:rPr>
          <w:rFonts w:hint="eastAsia" w:ascii="仿宋_GB2312" w:hAnsi="仿宋_GB2312" w:eastAsia="仿宋_GB2312" w:cs="仿宋_GB2312"/>
          <w:sz w:val="32"/>
          <w:szCs w:val="32"/>
          <w:shd w:val="clear" w:color="auto" w:fill="FFFFFF"/>
          <w:lang w:val="en-US" w:eastAsia="zh-CN"/>
        </w:rPr>
        <w:t>DB21/T3199-2019</w:t>
      </w:r>
      <w:r>
        <w:rPr>
          <w:rFonts w:hint="eastAsia" w:ascii="仿宋_GB2312" w:hAnsi="仿宋_GB2312" w:eastAsia="仿宋_GB2312" w:cs="仿宋_GB2312"/>
          <w:sz w:val="32"/>
          <w:szCs w:val="32"/>
          <w:shd w:val="clear" w:color="auto" w:fill="FFFFFF"/>
          <w:lang w:eastAsia="zh-CN"/>
        </w:rPr>
        <w:t>）规定，制作安装标志标牌，并在竣工验收前安装到位。</w:t>
      </w:r>
    </w:p>
    <w:p>
      <w:pPr>
        <w:shd w:val="clear" w:color="auto" w:fill="FFFFFF"/>
        <w:ind w:firstLine="640" w:firstLineChars="200"/>
        <w:rPr>
          <w:rStyle w:val="8"/>
          <w:rFonts w:hint="eastAsia" w:ascii="黑体" w:hAnsi="黑体" w:eastAsia="黑体" w:cs="黑体"/>
          <w:b w:val="0"/>
          <w:bCs/>
          <w:sz w:val="32"/>
          <w:szCs w:val="32"/>
          <w:shd w:val="clear" w:color="auto" w:fill="FFFFFF"/>
        </w:rPr>
      </w:pPr>
      <w:r>
        <w:rPr>
          <w:rStyle w:val="8"/>
          <w:rFonts w:hint="eastAsia" w:ascii="黑体" w:hAnsi="黑体" w:eastAsia="黑体" w:cs="黑体"/>
          <w:b w:val="0"/>
          <w:bCs/>
          <w:sz w:val="32"/>
          <w:szCs w:val="32"/>
          <w:shd w:val="clear" w:color="auto" w:fill="FFFFFF"/>
        </w:rPr>
        <w:t>第</w:t>
      </w:r>
      <w:r>
        <w:rPr>
          <w:rStyle w:val="8"/>
          <w:rFonts w:hint="eastAsia" w:ascii="黑体" w:hAnsi="黑体" w:eastAsia="黑体" w:cs="黑体"/>
          <w:b w:val="0"/>
          <w:bCs/>
          <w:sz w:val="32"/>
          <w:szCs w:val="32"/>
          <w:shd w:val="clear" w:color="auto" w:fill="FFFFFF"/>
          <w:lang w:eastAsia="zh-CN"/>
        </w:rPr>
        <w:t>十一</w:t>
      </w:r>
      <w:r>
        <w:rPr>
          <w:rStyle w:val="8"/>
          <w:rFonts w:hint="eastAsia" w:ascii="黑体" w:hAnsi="黑体" w:eastAsia="黑体" w:cs="黑体"/>
          <w:b w:val="0"/>
          <w:bCs/>
          <w:sz w:val="32"/>
          <w:szCs w:val="32"/>
          <w:shd w:val="clear" w:color="auto" w:fill="FFFFFF"/>
        </w:rPr>
        <w:t>条</w:t>
      </w:r>
      <w:r>
        <w:rPr>
          <w:rStyle w:val="8"/>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人防主管部门应加强人防工程平战转换信息的审核和数字化管理工作</w:t>
      </w:r>
      <w:r>
        <w:rPr>
          <w:rFonts w:hint="eastAsia" w:ascii="仿宋_GB2312" w:hAnsi="仿宋_GB2312" w:eastAsia="仿宋_GB2312" w:cs="仿宋_GB2312"/>
          <w:sz w:val="32"/>
          <w:szCs w:val="32"/>
          <w:shd w:val="clear" w:color="auto" w:fill="FFFFFF"/>
        </w:rPr>
        <w:t>，建立完善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sz w:val="32"/>
          <w:szCs w:val="32"/>
          <w:shd w:val="clear" w:color="auto" w:fill="FFFFFF"/>
        </w:rPr>
        <w:t>平战转换工作数据库</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 </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8"/>
          <w:rFonts w:hint="eastAsia" w:ascii="黑体" w:hAnsi="黑体" w:eastAsia="黑体" w:cs="黑体"/>
          <w:b w:val="0"/>
          <w:bCs/>
          <w:sz w:val="32"/>
          <w:szCs w:val="32"/>
          <w:shd w:val="clear" w:color="auto" w:fill="FFFFFF"/>
        </w:rPr>
        <w:t>第十</w:t>
      </w:r>
      <w:r>
        <w:rPr>
          <w:rStyle w:val="8"/>
          <w:rFonts w:hint="eastAsia" w:ascii="黑体" w:hAnsi="黑体" w:eastAsia="黑体" w:cs="黑体"/>
          <w:b w:val="0"/>
          <w:bCs/>
          <w:sz w:val="32"/>
          <w:szCs w:val="32"/>
          <w:shd w:val="clear" w:color="auto" w:fill="FFFFFF"/>
          <w:lang w:eastAsia="zh-CN"/>
        </w:rPr>
        <w:t>二</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主管部门应当根据人防工程平战转换需要，组织建立由建设单位、管理单位、设计单位、施工单位、防护（化）设备生产安装企业、社会志愿者等组成的人防工程平战转换专业队伍，具体承担平战转换的操作任务，并实施动态管理。</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8"/>
          <w:rFonts w:hint="eastAsia" w:ascii="黑体" w:hAnsi="黑体" w:eastAsia="黑体" w:cs="黑体"/>
          <w:b w:val="0"/>
          <w:bCs/>
          <w:sz w:val="32"/>
          <w:szCs w:val="32"/>
          <w:shd w:val="clear" w:color="auto" w:fill="FFFFFF"/>
        </w:rPr>
        <w:t>第十</w:t>
      </w:r>
      <w:r>
        <w:rPr>
          <w:rStyle w:val="8"/>
          <w:rFonts w:hint="eastAsia" w:ascii="黑体" w:hAnsi="黑体" w:eastAsia="黑体" w:cs="黑体"/>
          <w:b w:val="0"/>
          <w:bCs/>
          <w:sz w:val="32"/>
          <w:szCs w:val="32"/>
          <w:shd w:val="clear" w:color="auto" w:fill="FFFFFF"/>
          <w:lang w:eastAsia="zh-CN"/>
        </w:rPr>
        <w:t>三</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人防主管部门应制订训练大纲和训练计划，定期组织人防工程平战转换专业队伍开展平战转换的培训与现场演练。</w:t>
      </w:r>
    </w:p>
    <w:p>
      <w:pPr>
        <w:shd w:val="clear" w:color="auto" w:fill="FFFFFF"/>
        <w:ind w:firstLine="640" w:firstLineChars="200"/>
        <w:rPr>
          <w:rFonts w:hint="eastAsia" w:ascii="仿宋_GB2312" w:hAnsi="仿宋_GB2312" w:eastAsia="仿宋_GB2312" w:cs="仿宋_GB2312"/>
          <w:sz w:val="32"/>
          <w:szCs w:val="32"/>
          <w:shd w:val="clear" w:color="auto" w:fill="FFFFFF"/>
        </w:rPr>
      </w:pPr>
      <w:r>
        <w:rPr>
          <w:rStyle w:val="8"/>
          <w:rFonts w:hint="eastAsia" w:ascii="黑体" w:hAnsi="黑体" w:eastAsia="黑体" w:cs="黑体"/>
          <w:b w:val="0"/>
          <w:bCs/>
          <w:sz w:val="32"/>
          <w:szCs w:val="32"/>
          <w:shd w:val="clear" w:color="auto" w:fill="FFFFFF"/>
        </w:rPr>
        <w:t>第十</w:t>
      </w:r>
      <w:r>
        <w:rPr>
          <w:rStyle w:val="8"/>
          <w:rFonts w:hint="eastAsia" w:ascii="黑体" w:hAnsi="黑体" w:eastAsia="黑体" w:cs="黑体"/>
          <w:b w:val="0"/>
          <w:bCs/>
          <w:sz w:val="32"/>
          <w:szCs w:val="32"/>
          <w:shd w:val="clear" w:color="auto" w:fill="FFFFFF"/>
          <w:lang w:eastAsia="zh-CN"/>
        </w:rPr>
        <w:t>四</w:t>
      </w:r>
      <w:r>
        <w:rPr>
          <w:rStyle w:val="8"/>
          <w:rFonts w:hint="eastAsia" w:ascii="黑体" w:hAnsi="黑体" w:eastAsia="黑体" w:cs="黑体"/>
          <w:b w:val="0"/>
          <w:bCs/>
          <w:sz w:val="32"/>
          <w:szCs w:val="32"/>
          <w:shd w:val="clear" w:color="auto" w:fill="FFFFFF"/>
        </w:rPr>
        <w:t xml:space="preserve">条  </w:t>
      </w:r>
      <w:r>
        <w:rPr>
          <w:rFonts w:hint="eastAsia" w:ascii="仿宋_GB2312" w:hAnsi="仿宋_GB2312" w:eastAsia="仿宋_GB2312" w:cs="仿宋_GB2312"/>
          <w:sz w:val="32"/>
          <w:szCs w:val="32"/>
          <w:shd w:val="clear" w:color="auto" w:fill="FFFFFF"/>
        </w:rPr>
        <w:t>本办法自印发之日起施行。</w:t>
      </w:r>
    </w:p>
    <w:p>
      <w:pPr>
        <w:jc w:val="both"/>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94830A2-DCAB-45F9-BD81-C22C6C8CCC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5AFD8234-0622-4A6A-8523-CC7247930163}"/>
  </w:font>
  <w:font w:name="仿宋_GB2312">
    <w:panose1 w:val="02010609030101010101"/>
    <w:charset w:val="86"/>
    <w:family w:val="auto"/>
    <w:pitch w:val="default"/>
    <w:sig w:usb0="00000001" w:usb1="080E0000" w:usb2="00000000" w:usb3="00000000" w:csb0="00040000" w:csb1="00000000"/>
    <w:embedRegular r:id="rId3" w:fontKey="{20F56264-3DFD-4C21-96DC-A6BF405F94E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ZTE0MDk2MzRjZTcwYWZhOGY5MjBkMDZjOWI1MzIifQ=="/>
  </w:docVars>
  <w:rsids>
    <w:rsidRoot w:val="00000000"/>
    <w:rsid w:val="009825C0"/>
    <w:rsid w:val="0E4F150D"/>
    <w:rsid w:val="12F53D88"/>
    <w:rsid w:val="13DE0AD3"/>
    <w:rsid w:val="41FA2B60"/>
    <w:rsid w:val="5A1F5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刘英超</cp:lastModifiedBy>
  <cp:lastPrinted>2023-08-09T05:59:00Z</cp:lastPrinted>
  <dcterms:modified xsi:type="dcterms:W3CDTF">2023-08-10T00:55:07Z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F1506FEAA9CD4C5486BC94F25FF37CBD_13</vt:lpwstr>
  </property>
</Properties>
</file>